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D" w:rsidRDefault="00986CED">
      <w:pPr>
        <w:rPr>
          <w:rFonts w:cstheme="minorHAnsi"/>
          <w:sz w:val="24"/>
          <w:szCs w:val="24"/>
        </w:rPr>
      </w:pPr>
    </w:p>
    <w:p w:rsidR="00986CED" w:rsidRDefault="00986CED">
      <w:pPr>
        <w:rPr>
          <w:rFonts w:cstheme="minorHAnsi"/>
          <w:sz w:val="24"/>
          <w:szCs w:val="24"/>
        </w:rPr>
      </w:pPr>
    </w:p>
    <w:p w:rsidR="005469AD" w:rsidRPr="008814BC" w:rsidRDefault="005469AD" w:rsidP="005469AD">
      <w:pPr>
        <w:rPr>
          <w:rFonts w:cstheme="minorHAnsi"/>
          <w:sz w:val="28"/>
          <w:szCs w:val="28"/>
        </w:rPr>
      </w:pPr>
      <w:r w:rsidRPr="008814BC">
        <w:rPr>
          <w:rFonts w:cstheme="minorHAnsi"/>
          <w:b/>
          <w:sz w:val="28"/>
          <w:szCs w:val="28"/>
        </w:rPr>
        <w:t>Ph.d.-kursus i anvendelse af retspraksis i juridiske afhandlinger</w:t>
      </w:r>
    </w:p>
    <w:p w:rsidR="005469AD" w:rsidRDefault="005469AD" w:rsidP="007726D8">
      <w:pPr>
        <w:jc w:val="center"/>
        <w:rPr>
          <w:rFonts w:cstheme="minorHAnsi"/>
          <w:b/>
          <w:sz w:val="28"/>
          <w:szCs w:val="28"/>
        </w:rPr>
      </w:pPr>
      <w:r w:rsidRPr="005469AD">
        <w:rPr>
          <w:rFonts w:cstheme="minorHAnsi"/>
          <w:b/>
          <w:sz w:val="28"/>
          <w:szCs w:val="28"/>
        </w:rPr>
        <w:t>Program</w:t>
      </w:r>
    </w:p>
    <w:p w:rsidR="007726D8" w:rsidRPr="00E61566" w:rsidRDefault="007726D8" w:rsidP="007726D8">
      <w:pPr>
        <w:pStyle w:val="xxmsonormal"/>
        <w:rPr>
          <w:b/>
          <w:color w:val="1F497D"/>
          <w:sz w:val="28"/>
          <w:szCs w:val="28"/>
        </w:rPr>
      </w:pPr>
      <w:r w:rsidRPr="00E61566">
        <w:rPr>
          <w:b/>
          <w:color w:val="000000"/>
          <w:sz w:val="28"/>
          <w:szCs w:val="28"/>
        </w:rPr>
        <w:lastRenderedPageBreak/>
        <w:t>1. dag</w:t>
      </w:r>
      <w:r w:rsidRPr="00E61566">
        <w:rPr>
          <w:b/>
          <w:color w:val="1F497D"/>
          <w:sz w:val="28"/>
          <w:szCs w:val="28"/>
        </w:rPr>
        <w:t xml:space="preserve"> –</w:t>
      </w:r>
      <w:r w:rsidR="004E43F7">
        <w:rPr>
          <w:b/>
          <w:color w:val="000000"/>
          <w:sz w:val="28"/>
          <w:szCs w:val="28"/>
        </w:rPr>
        <w:t xml:space="preserve"> 4. april 2022</w:t>
      </w:r>
    </w:p>
    <w:p w:rsidR="007726D8" w:rsidRDefault="007726D8" w:rsidP="007726D8">
      <w:pPr>
        <w:pStyle w:val="xxmsonormal"/>
        <w:rPr>
          <w:color w:val="000000"/>
        </w:rPr>
      </w:pP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Kl. 10.00-10.05</w:t>
      </w:r>
      <w:r w:rsidRPr="00E61566">
        <w:rPr>
          <w:color w:val="000000"/>
          <w:sz w:val="24"/>
          <w:szCs w:val="24"/>
        </w:rPr>
        <w:tab/>
        <w:t xml:space="preserve">Velkomst </w:t>
      </w:r>
      <w:r w:rsidRPr="00E61566">
        <w:rPr>
          <w:i/>
          <w:iCs/>
          <w:color w:val="000000"/>
          <w:sz w:val="24"/>
          <w:szCs w:val="24"/>
        </w:rPr>
        <w:t xml:space="preserve">ved professor, </w:t>
      </w:r>
      <w:r w:rsidR="00EB2B1D" w:rsidRPr="00E61566">
        <w:rPr>
          <w:i/>
          <w:iCs/>
          <w:color w:val="000000"/>
          <w:sz w:val="24"/>
          <w:szCs w:val="24"/>
        </w:rPr>
        <w:t>dr.jur. Søren Højgaard Mørup</w:t>
      </w:r>
      <w:r w:rsidRPr="00E61566">
        <w:rPr>
          <w:i/>
          <w:iCs/>
          <w:color w:val="000000"/>
          <w:sz w:val="24"/>
          <w:szCs w:val="24"/>
        </w:rPr>
        <w:t xml:space="preserve"> 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 </w:t>
      </w:r>
    </w:p>
    <w:p w:rsidR="007726D8" w:rsidRPr="00E61566" w:rsidRDefault="00C05DFB" w:rsidP="007726D8">
      <w:pPr>
        <w:pStyle w:val="xxmsonormal"/>
        <w:ind w:left="2608" w:hanging="2608"/>
        <w:rPr>
          <w:sz w:val="24"/>
          <w:szCs w:val="24"/>
        </w:rPr>
      </w:pPr>
      <w:r>
        <w:rPr>
          <w:color w:val="000000"/>
          <w:sz w:val="24"/>
          <w:szCs w:val="24"/>
        </w:rPr>
        <w:t>Kl. 10.10-12.10</w:t>
      </w:r>
      <w:r>
        <w:rPr>
          <w:color w:val="000000"/>
          <w:sz w:val="24"/>
          <w:szCs w:val="24"/>
        </w:rPr>
        <w:tab/>
      </w:r>
      <w:r w:rsidR="007726D8" w:rsidRPr="00E61566">
        <w:rPr>
          <w:color w:val="000000"/>
          <w:sz w:val="24"/>
          <w:szCs w:val="24"/>
        </w:rPr>
        <w:t xml:space="preserve">Anvendelse af national retspraksis i afhandlinger </w:t>
      </w:r>
      <w:r w:rsidR="007726D8" w:rsidRPr="00E61566">
        <w:rPr>
          <w:i/>
          <w:iCs/>
          <w:color w:val="000000"/>
          <w:sz w:val="24"/>
          <w:szCs w:val="24"/>
        </w:rPr>
        <w:t>ved professor, dr.jur. Søren Højgaard Mørup</w:t>
      </w:r>
    </w:p>
    <w:p w:rsidR="007726D8" w:rsidRPr="00E61566" w:rsidRDefault="007726D8" w:rsidP="007726D8">
      <w:pPr>
        <w:pStyle w:val="xxmsonormal"/>
        <w:ind w:left="1304" w:firstLine="1304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Domssøgning og -læsning</w:t>
      </w:r>
    </w:p>
    <w:p w:rsidR="007726D8" w:rsidRPr="00E61566" w:rsidRDefault="007726D8" w:rsidP="00E61566">
      <w:pPr>
        <w:pStyle w:val="xxmsonormal"/>
        <w:ind w:left="2608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Brug af domme i afhandlingen (gengivelse, analyse, retskildeovervejelser)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 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Kl. 12.00-13.00</w:t>
      </w:r>
      <w:r w:rsidRPr="00E61566">
        <w:rPr>
          <w:color w:val="000000"/>
          <w:sz w:val="24"/>
          <w:szCs w:val="24"/>
        </w:rPr>
        <w:tab/>
        <w:t>Frokost (Lokale 317 i bygning 1414)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 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Kl. 13.00-14.00</w:t>
      </w:r>
      <w:r w:rsidRPr="00E61566">
        <w:rPr>
          <w:color w:val="000000"/>
          <w:sz w:val="24"/>
          <w:szCs w:val="24"/>
        </w:rPr>
        <w:tab/>
        <w:t xml:space="preserve">Landsretsdomme </w:t>
      </w:r>
      <w:r w:rsidRPr="00E61566">
        <w:rPr>
          <w:i/>
          <w:iCs/>
          <w:color w:val="000000"/>
          <w:sz w:val="24"/>
          <w:szCs w:val="24"/>
        </w:rPr>
        <w:t>ved landsdommer, dr.jur. Jens Hartig Danielsen</w:t>
      </w:r>
    </w:p>
    <w:p w:rsidR="007726D8" w:rsidRPr="00E61566" w:rsidRDefault="007726D8" w:rsidP="007726D8">
      <w:pPr>
        <w:pStyle w:val="xxmsonormal"/>
        <w:ind w:left="2608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Landsretternes arbejdsform og betydningen heraf for læsningen af landsretsdomme</w:t>
      </w:r>
    </w:p>
    <w:p w:rsidR="007726D8" w:rsidRPr="00993B28" w:rsidRDefault="007726D8" w:rsidP="00993B28">
      <w:pPr>
        <w:pStyle w:val="xxmsonormal"/>
        <w:ind w:left="2608"/>
        <w:rPr>
          <w:sz w:val="24"/>
          <w:szCs w:val="24"/>
        </w:rPr>
      </w:pPr>
      <w:r w:rsidRPr="00993B28">
        <w:rPr>
          <w:sz w:val="24"/>
          <w:szCs w:val="24"/>
        </w:rPr>
        <w:t>Landsretterne</w:t>
      </w:r>
      <w:r w:rsidR="00993B28" w:rsidRPr="00993B28">
        <w:rPr>
          <w:sz w:val="24"/>
          <w:szCs w:val="24"/>
        </w:rPr>
        <w:t>s</w:t>
      </w:r>
      <w:r w:rsidRPr="00993B28">
        <w:rPr>
          <w:sz w:val="24"/>
          <w:szCs w:val="24"/>
        </w:rPr>
        <w:t xml:space="preserve"> anvendelse af egen </w:t>
      </w:r>
      <w:r w:rsidR="00993B28" w:rsidRPr="00993B28">
        <w:rPr>
          <w:sz w:val="24"/>
          <w:szCs w:val="24"/>
        </w:rPr>
        <w:t xml:space="preserve">praksis og </w:t>
      </w:r>
      <w:r w:rsidRPr="00993B28">
        <w:rPr>
          <w:sz w:val="24"/>
          <w:szCs w:val="24"/>
        </w:rPr>
        <w:t>den anden landsrets praksis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 </w:t>
      </w:r>
    </w:p>
    <w:p w:rsidR="007726D8" w:rsidRPr="00E61566" w:rsidRDefault="007726D8" w:rsidP="007054BD">
      <w:pPr>
        <w:pStyle w:val="xxmsonormal"/>
        <w:ind w:left="2608" w:hanging="2608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Kl. 14.00-16.00</w:t>
      </w:r>
      <w:r w:rsidRPr="00E61566">
        <w:rPr>
          <w:color w:val="000000"/>
          <w:sz w:val="24"/>
          <w:szCs w:val="24"/>
        </w:rPr>
        <w:tab/>
        <w:t xml:space="preserve">Højesteretsdomme </w:t>
      </w:r>
      <w:r w:rsidRPr="00E61566">
        <w:rPr>
          <w:i/>
          <w:iCs/>
          <w:color w:val="000000"/>
          <w:sz w:val="24"/>
          <w:szCs w:val="24"/>
        </w:rPr>
        <w:t>ved højesteretsdommer, dr.jur. Jens Peter Christensen</w:t>
      </w:r>
    </w:p>
    <w:p w:rsidR="007726D8" w:rsidRPr="00E61566" w:rsidRDefault="007726D8" w:rsidP="007726D8">
      <w:pPr>
        <w:pStyle w:val="xxmsonormal"/>
        <w:ind w:left="2608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Højesterets arbejdsform og betydningen heraf for læsningen af højesteretsdomme</w:t>
      </w:r>
    </w:p>
    <w:p w:rsidR="007726D8" w:rsidRPr="00E61566" w:rsidRDefault="007726D8" w:rsidP="007726D8">
      <w:pPr>
        <w:pStyle w:val="xxmsonormal"/>
        <w:ind w:left="1304" w:firstLine="1304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 xml:space="preserve">Højesterets ændrede rolle som </w:t>
      </w:r>
      <w:proofErr w:type="spellStart"/>
      <w:r w:rsidRPr="00E61566">
        <w:rPr>
          <w:color w:val="000000"/>
          <w:sz w:val="24"/>
          <w:szCs w:val="24"/>
        </w:rPr>
        <w:t>præjudikatsdomstol</w:t>
      </w:r>
      <w:proofErr w:type="spellEnd"/>
    </w:p>
    <w:p w:rsidR="007726D8" w:rsidRPr="00E61566" w:rsidRDefault="007726D8" w:rsidP="007726D8">
      <w:pPr>
        <w:pStyle w:val="xxmsonormal"/>
        <w:ind w:left="1304" w:firstLine="1304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Betydningen af dissenser</w:t>
      </w:r>
    </w:p>
    <w:p w:rsidR="007726D8" w:rsidRPr="00E61566" w:rsidRDefault="007726D8" w:rsidP="00E61566">
      <w:pPr>
        <w:pStyle w:val="xxmsonormal"/>
        <w:ind w:left="2608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t>Højesterets anvendelse af egen praksis, herunder også voteringsprotokoller</w:t>
      </w:r>
    </w:p>
    <w:p w:rsidR="007726D8" w:rsidRPr="00E61566" w:rsidRDefault="007726D8" w:rsidP="007726D8">
      <w:pPr>
        <w:pStyle w:val="xxmsonormal"/>
        <w:rPr>
          <w:sz w:val="24"/>
          <w:szCs w:val="24"/>
        </w:rPr>
      </w:pPr>
      <w:r w:rsidRPr="00E61566">
        <w:rPr>
          <w:color w:val="000000"/>
          <w:sz w:val="24"/>
          <w:szCs w:val="24"/>
        </w:rPr>
        <w:lastRenderedPageBreak/>
        <w:t> </w:t>
      </w:r>
    </w:p>
    <w:p w:rsidR="00E61566" w:rsidRPr="007054BD" w:rsidRDefault="007726D8" w:rsidP="00507B51">
      <w:pPr>
        <w:pStyle w:val="xxmsonormal"/>
        <w:ind w:left="2608" w:hanging="2608"/>
        <w:rPr>
          <w:sz w:val="24"/>
          <w:szCs w:val="24"/>
        </w:rPr>
      </w:pPr>
      <w:r w:rsidRPr="007054BD">
        <w:rPr>
          <w:sz w:val="24"/>
          <w:szCs w:val="24"/>
        </w:rPr>
        <w:t>Kl. 19</w:t>
      </w:r>
      <w:r w:rsidR="00E61566" w:rsidRPr="007054BD">
        <w:rPr>
          <w:sz w:val="24"/>
          <w:szCs w:val="24"/>
        </w:rPr>
        <w:t>.00</w:t>
      </w:r>
      <w:r w:rsidR="00E61566" w:rsidRPr="007054BD">
        <w:rPr>
          <w:sz w:val="24"/>
          <w:szCs w:val="24"/>
        </w:rPr>
        <w:tab/>
      </w:r>
      <w:r w:rsidRPr="007054BD">
        <w:rPr>
          <w:sz w:val="24"/>
          <w:szCs w:val="24"/>
        </w:rPr>
        <w:t>Fælles middag</w:t>
      </w:r>
      <w:r w:rsidR="007054BD">
        <w:rPr>
          <w:sz w:val="24"/>
          <w:szCs w:val="24"/>
        </w:rPr>
        <w:t xml:space="preserve"> for alle oplægsholdere og deltagere</w:t>
      </w: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Pr="00E61566" w:rsidRDefault="00E61566" w:rsidP="007726D8">
      <w:pPr>
        <w:pStyle w:val="xxmsonormal"/>
        <w:rPr>
          <w:color w:val="000000"/>
          <w:sz w:val="24"/>
          <w:szCs w:val="24"/>
        </w:rPr>
      </w:pPr>
    </w:p>
    <w:p w:rsidR="00E61566" w:rsidRPr="008814BC" w:rsidRDefault="00E61566" w:rsidP="00E61566">
      <w:pPr>
        <w:rPr>
          <w:rFonts w:cstheme="minorHAnsi"/>
          <w:sz w:val="28"/>
          <w:szCs w:val="28"/>
        </w:rPr>
      </w:pPr>
      <w:r w:rsidRPr="008814BC">
        <w:rPr>
          <w:rFonts w:cstheme="minorHAnsi"/>
          <w:b/>
          <w:sz w:val="28"/>
          <w:szCs w:val="28"/>
        </w:rPr>
        <w:t>Ph.d.-kursus i anvendelse af retspraksis i juridiske afhandlinger</w:t>
      </w:r>
    </w:p>
    <w:p w:rsidR="00E61566" w:rsidRDefault="00E61566" w:rsidP="00E61566">
      <w:pPr>
        <w:jc w:val="center"/>
        <w:rPr>
          <w:rFonts w:cstheme="minorHAnsi"/>
          <w:b/>
          <w:sz w:val="28"/>
          <w:szCs w:val="28"/>
        </w:rPr>
      </w:pPr>
      <w:r w:rsidRPr="005469AD">
        <w:rPr>
          <w:rFonts w:cstheme="minorHAnsi"/>
          <w:b/>
          <w:sz w:val="28"/>
          <w:szCs w:val="28"/>
        </w:rPr>
        <w:t>Program</w:t>
      </w:r>
    </w:p>
    <w:p w:rsidR="007726D8" w:rsidRPr="00E61566" w:rsidRDefault="007726D8" w:rsidP="007726D8">
      <w:pPr>
        <w:pStyle w:val="xxmsonormal"/>
        <w:rPr>
          <w:b/>
          <w:sz w:val="28"/>
          <w:szCs w:val="28"/>
        </w:rPr>
      </w:pPr>
      <w:r w:rsidRPr="00E61566">
        <w:rPr>
          <w:b/>
          <w:color w:val="000000"/>
          <w:sz w:val="28"/>
          <w:szCs w:val="28"/>
        </w:rPr>
        <w:t>2. dag</w:t>
      </w:r>
      <w:r w:rsidRPr="00E61566">
        <w:rPr>
          <w:b/>
          <w:color w:val="1F497D"/>
          <w:sz w:val="28"/>
          <w:szCs w:val="28"/>
        </w:rPr>
        <w:t xml:space="preserve"> </w:t>
      </w:r>
      <w:r w:rsidR="007969F2" w:rsidRPr="00E61566">
        <w:rPr>
          <w:b/>
          <w:color w:val="1F497D"/>
          <w:sz w:val="28"/>
          <w:szCs w:val="28"/>
        </w:rPr>
        <w:t>–</w:t>
      </w:r>
      <w:r w:rsidR="004E43F7">
        <w:rPr>
          <w:b/>
          <w:color w:val="000000"/>
          <w:sz w:val="28"/>
          <w:szCs w:val="28"/>
        </w:rPr>
        <w:t xml:space="preserve"> 5. april 2022</w:t>
      </w:r>
    </w:p>
    <w:p w:rsidR="00E61566" w:rsidRDefault="00E61566" w:rsidP="007726D8">
      <w:pPr>
        <w:pStyle w:val="xxmsonormal"/>
        <w:rPr>
          <w:color w:val="000000"/>
        </w:rPr>
      </w:pPr>
    </w:p>
    <w:p w:rsidR="00EB2B1D" w:rsidRDefault="007726D8" w:rsidP="00EB2B1D">
      <w:pPr>
        <w:pStyle w:val="xxmsonormal"/>
        <w:ind w:left="2608" w:hanging="2608"/>
      </w:pPr>
      <w:r>
        <w:rPr>
          <w:color w:val="000000"/>
        </w:rPr>
        <w:t>Kl. 9</w:t>
      </w:r>
      <w:r w:rsidR="00E61566">
        <w:rPr>
          <w:color w:val="000000"/>
        </w:rPr>
        <w:t>.00</w:t>
      </w:r>
      <w:r>
        <w:rPr>
          <w:color w:val="000000"/>
        </w:rPr>
        <w:t>-11</w:t>
      </w:r>
      <w:r w:rsidR="00EB2B1D">
        <w:rPr>
          <w:color w:val="000000"/>
        </w:rPr>
        <w:t>.00</w:t>
      </w:r>
      <w:r w:rsidR="00EB2B1D">
        <w:rPr>
          <w:color w:val="000000"/>
        </w:rPr>
        <w:tab/>
        <w:t xml:space="preserve">EMD-domme </w:t>
      </w:r>
      <w:r w:rsidR="00EB2B1D">
        <w:rPr>
          <w:i/>
          <w:iCs/>
          <w:color w:val="000000"/>
        </w:rPr>
        <w:t>ved vicepræsident for Den Europæiske Menneskerettighedsdomstol Jon Fridrik Kjølbro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Domstolens arbejdsform og betydningen heraf for læsningen af EMD-domme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Betydningen af dissenser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Domstolens anvendelse af egen praksis</w:t>
      </w:r>
    </w:p>
    <w:p w:rsidR="007726D8" w:rsidRDefault="007726D8" w:rsidP="00E61566">
      <w:pPr>
        <w:pStyle w:val="xxmsonormal"/>
        <w:ind w:left="1304" w:firstLine="1304"/>
      </w:pP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7726D8" w:rsidRDefault="007726D8" w:rsidP="007726D8">
      <w:pPr>
        <w:pStyle w:val="xxmsonormal"/>
      </w:pPr>
      <w:r>
        <w:rPr>
          <w:color w:val="000000"/>
        </w:rPr>
        <w:t>Kl. 11</w:t>
      </w:r>
      <w:r w:rsidR="00E61566">
        <w:rPr>
          <w:color w:val="000000"/>
        </w:rPr>
        <w:t>.00</w:t>
      </w:r>
      <w:r>
        <w:rPr>
          <w:color w:val="000000"/>
        </w:rPr>
        <w:t>-12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>
        <w:rPr>
          <w:color w:val="000000"/>
        </w:rPr>
        <w:t>Frokost</w:t>
      </w:r>
      <w:r w:rsidR="00E61566">
        <w:rPr>
          <w:color w:val="000000"/>
        </w:rPr>
        <w:t xml:space="preserve"> (Lokale 317 i bygning 1414)</w:t>
      </w: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EB2B1D" w:rsidRDefault="007726D8" w:rsidP="00EB2B1D">
      <w:pPr>
        <w:pStyle w:val="xxmsonormal"/>
      </w:pPr>
      <w:r>
        <w:rPr>
          <w:color w:val="000000"/>
        </w:rPr>
        <w:lastRenderedPageBreak/>
        <w:t>Kl. 12</w:t>
      </w:r>
      <w:r w:rsidR="00E61566">
        <w:rPr>
          <w:color w:val="000000"/>
        </w:rPr>
        <w:t>.00</w:t>
      </w:r>
      <w:r>
        <w:rPr>
          <w:color w:val="000000"/>
        </w:rPr>
        <w:t>-14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 w:rsidR="00EB2B1D">
        <w:rPr>
          <w:color w:val="000000"/>
        </w:rPr>
        <w:t xml:space="preserve">EU-domme </w:t>
      </w:r>
      <w:r w:rsidR="00EB2B1D">
        <w:rPr>
          <w:i/>
          <w:iCs/>
          <w:color w:val="000000"/>
        </w:rPr>
        <w:t xml:space="preserve">ved </w:t>
      </w:r>
      <w:r w:rsidR="00EB2B1D">
        <w:rPr>
          <w:i/>
          <w:iCs/>
        </w:rPr>
        <w:t>generaladvokat Henrik Saugmandsgaard Øe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Domstolens arbejdsform og betydningen heraf for læsningen af EU-domme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Betydningen af fraværet af dissenser</w:t>
      </w:r>
    </w:p>
    <w:p w:rsidR="00993B28" w:rsidRDefault="00EB2B1D" w:rsidP="00EB2B1D">
      <w:pPr>
        <w:pStyle w:val="xxmsonormal"/>
        <w:ind w:left="1304" w:firstLine="1304"/>
      </w:pPr>
      <w:r>
        <w:rPr>
          <w:color w:val="000000"/>
        </w:rPr>
        <w:t xml:space="preserve">Domstolens anvendelse af egen praksis </w:t>
      </w:r>
    </w:p>
    <w:p w:rsidR="00E403A4" w:rsidRDefault="00E403A4" w:rsidP="00E403A4">
      <w:pPr>
        <w:pStyle w:val="xxmsonormal"/>
        <w:ind w:left="2608" w:hanging="2608"/>
      </w:pP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7726D8" w:rsidRDefault="007726D8" w:rsidP="00E61566">
      <w:pPr>
        <w:pStyle w:val="xxmsonormal"/>
        <w:ind w:left="2608" w:hanging="2608"/>
      </w:pPr>
      <w:r>
        <w:rPr>
          <w:color w:val="000000"/>
        </w:rPr>
        <w:t>Kl. 14</w:t>
      </w:r>
      <w:r w:rsidR="00E61566">
        <w:rPr>
          <w:color w:val="000000"/>
        </w:rPr>
        <w:t>.00</w:t>
      </w:r>
      <w:r>
        <w:rPr>
          <w:color w:val="000000"/>
        </w:rPr>
        <w:t>-16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 w:rsidR="002E29F6">
        <w:rPr>
          <w:color w:val="000000"/>
        </w:rPr>
        <w:t>Anvendelse af EUD- og EMD-</w:t>
      </w:r>
      <w:r>
        <w:rPr>
          <w:color w:val="000000"/>
        </w:rPr>
        <w:t xml:space="preserve">praksis i afhandlinger </w:t>
      </w:r>
      <w:r>
        <w:rPr>
          <w:i/>
          <w:iCs/>
          <w:color w:val="000000"/>
        </w:rPr>
        <w:t>ved</w:t>
      </w:r>
      <w:r>
        <w:rPr>
          <w:color w:val="000000"/>
        </w:rPr>
        <w:t xml:space="preserve"> </w:t>
      </w:r>
      <w:r w:rsidR="00C05DFB">
        <w:rPr>
          <w:i/>
          <w:iCs/>
          <w:color w:val="000000"/>
        </w:rPr>
        <w:t>lektor, ph.d. Louise Halleskov</w:t>
      </w:r>
      <w:r w:rsidR="002E29F6">
        <w:rPr>
          <w:i/>
          <w:iCs/>
          <w:color w:val="000000"/>
        </w:rPr>
        <w:t>, og lektor, ph.d. Line Herman Langkjær</w:t>
      </w:r>
    </w:p>
    <w:p w:rsidR="007726D8" w:rsidRDefault="007726D8" w:rsidP="00E61566">
      <w:pPr>
        <w:pStyle w:val="xxmsonormal"/>
        <w:ind w:left="1304" w:firstLine="1304"/>
      </w:pPr>
      <w:r>
        <w:rPr>
          <w:color w:val="000000"/>
        </w:rPr>
        <w:t>Domssøgning og -læsning</w:t>
      </w:r>
    </w:p>
    <w:p w:rsidR="007726D8" w:rsidRDefault="007726D8" w:rsidP="00E61566">
      <w:pPr>
        <w:pStyle w:val="xxmsonormal"/>
        <w:ind w:left="1304" w:firstLine="1304"/>
      </w:pPr>
      <w:r>
        <w:rPr>
          <w:color w:val="000000"/>
        </w:rPr>
        <w:t>Brug af domme i afhandlingen (gengivelse, analyse, retskildeovervejelser)</w:t>
      </w: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7726D8" w:rsidRPr="007054BD" w:rsidRDefault="007726D8" w:rsidP="00507B51">
      <w:pPr>
        <w:pStyle w:val="xxmsonormal"/>
        <w:ind w:left="2608" w:hanging="2608"/>
      </w:pPr>
      <w:r w:rsidRPr="007054BD">
        <w:t>Kl. 18</w:t>
      </w:r>
      <w:r w:rsidR="00E61566" w:rsidRPr="007054BD">
        <w:t>.00-</w:t>
      </w:r>
      <w:r w:rsidR="00E61566" w:rsidRPr="007054BD">
        <w:tab/>
      </w:r>
      <w:r w:rsidRPr="007054BD">
        <w:t>Middag for de ph.d.-studerende</w:t>
      </w:r>
      <w:r w:rsidR="00507B51" w:rsidRPr="007054BD">
        <w:t xml:space="preserve"> arrangeret af ph.d.-klubben på Juridisk Institut, Aarhus Universitet</w:t>
      </w: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7726D8" w:rsidRPr="00E61566" w:rsidRDefault="007726D8" w:rsidP="007726D8">
      <w:pPr>
        <w:pStyle w:val="xxmsonormal"/>
        <w:rPr>
          <w:b/>
          <w:color w:val="000000"/>
          <w:sz w:val="28"/>
          <w:szCs w:val="28"/>
        </w:rPr>
      </w:pPr>
      <w:r w:rsidRPr="00E61566">
        <w:rPr>
          <w:b/>
          <w:color w:val="000000"/>
          <w:sz w:val="28"/>
          <w:szCs w:val="28"/>
        </w:rPr>
        <w:t xml:space="preserve">3. dag </w:t>
      </w:r>
      <w:r w:rsidR="007969F2" w:rsidRPr="00E61566">
        <w:rPr>
          <w:b/>
          <w:color w:val="1F497D"/>
          <w:sz w:val="28"/>
          <w:szCs w:val="28"/>
        </w:rPr>
        <w:t>–</w:t>
      </w:r>
      <w:r w:rsidR="004E43F7">
        <w:rPr>
          <w:b/>
          <w:color w:val="000000"/>
          <w:sz w:val="28"/>
          <w:szCs w:val="28"/>
        </w:rPr>
        <w:t xml:space="preserve"> 6. april 2022</w:t>
      </w:r>
    </w:p>
    <w:p w:rsidR="00E61566" w:rsidRDefault="00E61566" w:rsidP="007726D8">
      <w:pPr>
        <w:pStyle w:val="xxmsonormal"/>
        <w:rPr>
          <w:color w:val="000000"/>
        </w:rPr>
      </w:pPr>
    </w:p>
    <w:p w:rsidR="00EB2B1D" w:rsidRDefault="007726D8" w:rsidP="00EB2B1D">
      <w:pPr>
        <w:pStyle w:val="xxmsonormal"/>
      </w:pPr>
      <w:r>
        <w:rPr>
          <w:color w:val="000000"/>
        </w:rPr>
        <w:t>Kl. 9</w:t>
      </w:r>
      <w:r w:rsidR="00E61566">
        <w:rPr>
          <w:color w:val="000000"/>
        </w:rPr>
        <w:t>.00</w:t>
      </w:r>
      <w:r w:rsidR="00EB2B1D">
        <w:rPr>
          <w:color w:val="000000"/>
        </w:rPr>
        <w:t>-11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 w:rsidR="00EB2B1D">
        <w:rPr>
          <w:color w:val="000000"/>
        </w:rPr>
        <w:tab/>
        <w:t xml:space="preserve">Udenlandsk retspraksis </w:t>
      </w:r>
      <w:r w:rsidR="00EB2B1D">
        <w:rPr>
          <w:i/>
          <w:iCs/>
          <w:color w:val="000000"/>
        </w:rPr>
        <w:t>ved professor, ph.d. Kasper Steensgaard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Domssøgning og -læsning</w:t>
      </w:r>
    </w:p>
    <w:p w:rsidR="00EB2B1D" w:rsidRDefault="00EB2B1D" w:rsidP="00EB2B1D">
      <w:pPr>
        <w:pStyle w:val="xxmsonormal"/>
        <w:ind w:left="1304" w:firstLine="1304"/>
      </w:pPr>
      <w:r>
        <w:rPr>
          <w:color w:val="000000"/>
        </w:rPr>
        <w:t>Brug af domme i afhandlingen (gengivelse, analyse, retskildeovervejelser)</w:t>
      </w:r>
    </w:p>
    <w:p w:rsidR="007726D8" w:rsidRDefault="007726D8" w:rsidP="00EB2B1D">
      <w:pPr>
        <w:pStyle w:val="xxmsonormal"/>
      </w:pP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7726D8" w:rsidRDefault="007726D8" w:rsidP="007726D8">
      <w:pPr>
        <w:pStyle w:val="xxmsonormal"/>
      </w:pPr>
      <w:r>
        <w:rPr>
          <w:color w:val="000000"/>
        </w:rPr>
        <w:t>Kl. 12</w:t>
      </w:r>
      <w:r w:rsidR="00E61566">
        <w:rPr>
          <w:color w:val="000000"/>
        </w:rPr>
        <w:t>.00</w:t>
      </w:r>
      <w:r>
        <w:rPr>
          <w:color w:val="000000"/>
        </w:rPr>
        <w:t>-13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>
        <w:rPr>
          <w:color w:val="000000"/>
        </w:rPr>
        <w:t>Frokost</w:t>
      </w:r>
      <w:r w:rsidR="00E61566">
        <w:rPr>
          <w:color w:val="000000"/>
        </w:rPr>
        <w:t xml:space="preserve"> (Lokale 317 i bygning 1414)</w:t>
      </w:r>
    </w:p>
    <w:p w:rsidR="007726D8" w:rsidRDefault="007726D8" w:rsidP="007726D8">
      <w:pPr>
        <w:pStyle w:val="xxmsonormal"/>
      </w:pPr>
      <w:r>
        <w:rPr>
          <w:color w:val="000000"/>
        </w:rPr>
        <w:t> </w:t>
      </w:r>
    </w:p>
    <w:p w:rsidR="00EB2B1D" w:rsidRDefault="007726D8" w:rsidP="00EB2B1D">
      <w:pPr>
        <w:pStyle w:val="xxmsonormal"/>
        <w:ind w:left="2608" w:hanging="2608"/>
      </w:pPr>
      <w:r>
        <w:rPr>
          <w:color w:val="000000"/>
        </w:rPr>
        <w:t>Kl. 13</w:t>
      </w:r>
      <w:r w:rsidR="00E61566">
        <w:rPr>
          <w:color w:val="000000"/>
        </w:rPr>
        <w:t>.00</w:t>
      </w:r>
      <w:r>
        <w:rPr>
          <w:color w:val="000000"/>
        </w:rPr>
        <w:t>-15</w:t>
      </w:r>
      <w:r w:rsidR="00E61566">
        <w:rPr>
          <w:color w:val="000000"/>
        </w:rPr>
        <w:t>.00</w:t>
      </w:r>
      <w:r w:rsidR="00E61566">
        <w:rPr>
          <w:color w:val="000000"/>
        </w:rPr>
        <w:tab/>
      </w:r>
      <w:r w:rsidR="00EB2B1D">
        <w:rPr>
          <w:iCs/>
          <w:color w:val="000000"/>
        </w:rPr>
        <w:t>O</w:t>
      </w:r>
      <w:r w:rsidR="00EB2B1D" w:rsidRPr="00E170B7">
        <w:rPr>
          <w:iCs/>
          <w:color w:val="000000"/>
        </w:rPr>
        <w:t>plæg</w:t>
      </w:r>
      <w:r w:rsidR="00EB2B1D">
        <w:rPr>
          <w:iCs/>
          <w:color w:val="000000"/>
        </w:rPr>
        <w:t xml:space="preserve"> om egne domsanalyser</w:t>
      </w:r>
      <w:r w:rsidR="00EB2B1D">
        <w:rPr>
          <w:color w:val="000000"/>
        </w:rPr>
        <w:t xml:space="preserve"> </w:t>
      </w:r>
      <w:r w:rsidR="00EB2B1D" w:rsidRPr="00E71A78">
        <w:rPr>
          <w:i/>
          <w:color w:val="000000"/>
        </w:rPr>
        <w:t xml:space="preserve">ved </w:t>
      </w:r>
      <w:r w:rsidR="00EB2B1D">
        <w:rPr>
          <w:i/>
          <w:color w:val="000000"/>
        </w:rPr>
        <w:t xml:space="preserve">[tre </w:t>
      </w:r>
      <w:r w:rsidR="00EB2B1D" w:rsidRPr="00E71A78">
        <w:rPr>
          <w:i/>
          <w:color w:val="000000"/>
        </w:rPr>
        <w:t>ph.d.-stipendiat</w:t>
      </w:r>
      <w:r w:rsidR="00EB2B1D">
        <w:rPr>
          <w:i/>
          <w:color w:val="000000"/>
        </w:rPr>
        <w:t>er]</w:t>
      </w:r>
      <w:r w:rsidR="00EB2B1D" w:rsidRPr="00E71A78">
        <w:rPr>
          <w:i/>
          <w:color w:val="000000"/>
        </w:rPr>
        <w:t xml:space="preserve"> </w:t>
      </w:r>
      <w:r w:rsidR="00EB2B1D">
        <w:rPr>
          <w:color w:val="000000"/>
        </w:rPr>
        <w:t xml:space="preserve">samt eksempler på domsanalyser i juridisk litteratur </w:t>
      </w:r>
      <w:r w:rsidR="00EB2B1D">
        <w:rPr>
          <w:i/>
          <w:iCs/>
          <w:color w:val="000000"/>
        </w:rPr>
        <w:t>ved professor, ph.d. Lasse Højlund Christensen</w:t>
      </w:r>
    </w:p>
    <w:p w:rsidR="00E403A4" w:rsidRDefault="00E403A4" w:rsidP="00E403A4">
      <w:pPr>
        <w:pStyle w:val="xxmsonormal"/>
        <w:ind w:left="1304" w:firstLine="1304"/>
      </w:pPr>
    </w:p>
    <w:p w:rsidR="00E61566" w:rsidRDefault="00E61566" w:rsidP="00E61566">
      <w:pPr>
        <w:pStyle w:val="xxmsonormal"/>
        <w:ind w:left="2608" w:hanging="2608"/>
      </w:pPr>
      <w:r>
        <w:rPr>
          <w:color w:val="000000"/>
        </w:rPr>
        <w:lastRenderedPageBreak/>
        <w:t>Kl. 15.00-</w:t>
      </w:r>
      <w:r>
        <w:rPr>
          <w:color w:val="000000"/>
        </w:rPr>
        <w:tab/>
      </w:r>
      <w:r w:rsidR="007726D8">
        <w:rPr>
          <w:color w:val="000000"/>
        </w:rPr>
        <w:t xml:space="preserve">Afrunding </w:t>
      </w:r>
      <w:r w:rsidRPr="00E61566">
        <w:rPr>
          <w:i/>
          <w:color w:val="000000"/>
        </w:rPr>
        <w:t xml:space="preserve">ved </w:t>
      </w:r>
      <w:r>
        <w:rPr>
          <w:i/>
          <w:iCs/>
          <w:color w:val="000000"/>
        </w:rPr>
        <w:t xml:space="preserve">professor, </w:t>
      </w:r>
      <w:r w:rsidR="00EB2B1D">
        <w:rPr>
          <w:i/>
          <w:iCs/>
          <w:color w:val="000000"/>
        </w:rPr>
        <w:t>ph.d. Lasse Højlund Christensen</w:t>
      </w:r>
    </w:p>
    <w:p w:rsidR="00E61566" w:rsidRDefault="00E61566" w:rsidP="00E61566">
      <w:pPr>
        <w:pStyle w:val="xxmsonormal"/>
      </w:pPr>
      <w:r>
        <w:rPr>
          <w:color w:val="000000"/>
        </w:rPr>
        <w:t> </w:t>
      </w:r>
    </w:p>
    <w:p w:rsidR="00913856" w:rsidRDefault="00913856">
      <w:pPr>
        <w:rPr>
          <w:rFonts w:cstheme="minorHAnsi"/>
          <w:b/>
          <w:sz w:val="28"/>
          <w:szCs w:val="28"/>
        </w:rPr>
      </w:pPr>
    </w:p>
    <w:p w:rsidR="00913856" w:rsidRPr="008814BC" w:rsidRDefault="00913856" w:rsidP="00913856">
      <w:pPr>
        <w:rPr>
          <w:rFonts w:cstheme="minorHAnsi"/>
          <w:sz w:val="28"/>
          <w:szCs w:val="28"/>
        </w:rPr>
      </w:pPr>
      <w:r w:rsidRPr="008814BC">
        <w:rPr>
          <w:rFonts w:cstheme="minorHAnsi"/>
          <w:b/>
          <w:sz w:val="28"/>
          <w:szCs w:val="28"/>
        </w:rPr>
        <w:t>Ph.d.-kursus i anvendelse af retspraksis i juridiske afhandlinger</w:t>
      </w:r>
    </w:p>
    <w:p w:rsidR="005469AD" w:rsidRDefault="009138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Foreløbig litteraturliste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Oliver Talevski i Proceduren, s. 467-482, ”Voteringen”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Lars Bay Larsen i festskrift til Jens Peter Christensen, s. 847-866, om domsarbejdet i Højesteret og ved EU-domstolen.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Peer Lorenzen i festskrift til Jens Peter Christensen, s. 879-897, om dissenser og dissentierende dommere i Menneskerettighedsdomstolen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Jon Fridrik Kjølbro: Den europæiske menneskerettighedskonvention for praktikere, s. 17-34, om fortolkning og anvendelse af konventionens bestemmelser, særligt s. 17-21 om betydningen af retspraksis.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Jan Schans Christensen i Festskrift til Mads Bryde Andersen, s. 147-162, ”Domsskrivning i Højesteret”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Børge Dahl i Festskrift til Jens Peter Christensen, s. 619-634, ”Hvad skal vi med Højesteret”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lastRenderedPageBreak/>
        <w:t>- Børge Dahl og Jens Peter Christensen i Retsplejeloven 100 år, s. 613-646, ”Højesteret og retsplejen”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</w:rPr>
        <w:t>- Ole Lando i Juridisk Forskning, s. 83-96 ”Komparativ ret i juridiske Afhandlinger”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  <w:lang w:val="en-US"/>
        </w:rPr>
      </w:pPr>
      <w:r w:rsidRPr="00913856">
        <w:rPr>
          <w:rFonts w:cstheme="minorHAnsi"/>
          <w:sz w:val="28"/>
          <w:szCs w:val="28"/>
          <w:lang w:val="en-US"/>
        </w:rPr>
        <w:t xml:space="preserve">- Stefan </w:t>
      </w:r>
      <w:proofErr w:type="spellStart"/>
      <w:r w:rsidRPr="00913856">
        <w:rPr>
          <w:rFonts w:cstheme="minorHAnsi"/>
          <w:sz w:val="28"/>
          <w:szCs w:val="28"/>
          <w:lang w:val="en-US"/>
        </w:rPr>
        <w:t>Vogenauer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3856">
        <w:rPr>
          <w:rFonts w:cstheme="minorHAnsi"/>
          <w:sz w:val="28"/>
          <w:szCs w:val="28"/>
          <w:lang w:val="en-US"/>
        </w:rPr>
        <w:t>i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The Oxford Handbook of Comparative Law, s. 869-898, “Sources of law and leg</w:t>
      </w:r>
      <w:r w:rsidR="007C3BAB">
        <w:rPr>
          <w:rFonts w:cstheme="minorHAnsi"/>
          <w:sz w:val="28"/>
          <w:szCs w:val="28"/>
          <w:lang w:val="en-US"/>
        </w:rPr>
        <w:t xml:space="preserve">al method in </w:t>
      </w:r>
      <w:proofErr w:type="spellStart"/>
      <w:r w:rsidR="007C3BAB">
        <w:rPr>
          <w:rFonts w:cstheme="minorHAnsi"/>
          <w:sz w:val="28"/>
          <w:szCs w:val="28"/>
          <w:lang w:val="en-US"/>
        </w:rPr>
        <w:t>comprarative</w:t>
      </w:r>
      <w:proofErr w:type="spellEnd"/>
      <w:r w:rsidR="007C3BAB">
        <w:rPr>
          <w:rFonts w:cstheme="minorHAnsi"/>
          <w:sz w:val="28"/>
          <w:szCs w:val="28"/>
          <w:lang w:val="en-US"/>
        </w:rPr>
        <w:t xml:space="preserve"> law”.</w:t>
      </w:r>
    </w:p>
    <w:p w:rsidR="00913856" w:rsidRPr="00913856" w:rsidRDefault="00AD4F8B" w:rsidP="009138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13856" w:rsidRPr="00913856">
        <w:rPr>
          <w:rFonts w:cstheme="minorHAnsi"/>
          <w:sz w:val="28"/>
          <w:szCs w:val="28"/>
        </w:rPr>
        <w:t xml:space="preserve">Christina D. Tvarnø og Ruth Nielsen, Retskilder og </w:t>
      </w:r>
      <w:proofErr w:type="spellStart"/>
      <w:r w:rsidR="00913856" w:rsidRPr="00913856">
        <w:rPr>
          <w:rFonts w:cstheme="minorHAnsi"/>
          <w:sz w:val="28"/>
          <w:szCs w:val="28"/>
        </w:rPr>
        <w:t>Retsteorier</w:t>
      </w:r>
      <w:proofErr w:type="spellEnd"/>
      <w:r w:rsidR="00913856" w:rsidRPr="00913856">
        <w:rPr>
          <w:rFonts w:cstheme="minorHAnsi"/>
          <w:sz w:val="28"/>
          <w:szCs w:val="28"/>
        </w:rPr>
        <w:t>, s. 113-124 (EU-rettens virkning i national ret), og s. 205-223 (EU-konform fortolkning)</w:t>
      </w:r>
      <w:r w:rsidR="007C3BAB">
        <w:rPr>
          <w:rFonts w:cstheme="minorHAnsi"/>
          <w:sz w:val="28"/>
          <w:szCs w:val="28"/>
        </w:rPr>
        <w:t>.</w:t>
      </w:r>
    </w:p>
    <w:p w:rsidR="00913856" w:rsidRPr="00913856" w:rsidRDefault="00913856" w:rsidP="00913856">
      <w:pPr>
        <w:rPr>
          <w:rFonts w:cstheme="minorHAnsi"/>
          <w:sz w:val="28"/>
          <w:szCs w:val="28"/>
          <w:lang w:val="en-US"/>
        </w:rPr>
      </w:pPr>
      <w:r w:rsidRPr="00913856">
        <w:rPr>
          <w:rFonts w:cstheme="minorHAnsi"/>
          <w:sz w:val="28"/>
          <w:szCs w:val="28"/>
          <w:lang w:val="en-US"/>
        </w:rPr>
        <w:t xml:space="preserve">- </w:t>
      </w:r>
      <w:r w:rsidR="00AD4F8B">
        <w:rPr>
          <w:rFonts w:cstheme="minorHAnsi"/>
          <w:sz w:val="28"/>
          <w:szCs w:val="28"/>
          <w:lang w:val="en-US"/>
        </w:rPr>
        <w:t xml:space="preserve"> </w:t>
      </w:r>
      <w:r w:rsidRPr="00913856">
        <w:rPr>
          <w:rFonts w:cstheme="minorHAnsi"/>
          <w:sz w:val="28"/>
          <w:szCs w:val="28"/>
          <w:lang w:val="en-US"/>
        </w:rPr>
        <w:t xml:space="preserve">Pedro Cruz </w:t>
      </w:r>
      <w:proofErr w:type="spellStart"/>
      <w:r w:rsidRPr="00913856">
        <w:rPr>
          <w:rFonts w:cstheme="minorHAnsi"/>
          <w:sz w:val="28"/>
          <w:szCs w:val="28"/>
          <w:lang w:val="en-US"/>
        </w:rPr>
        <w:t>Villalón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, Rights in Europe: The Crowded House, Working Paper 01/2012, Kings College London:  </w:t>
      </w:r>
      <w:bookmarkStart w:id="0" w:name="_GoBack"/>
      <w:r w:rsidR="00E57734">
        <w:fldChar w:fldCharType="begin"/>
      </w:r>
      <w:r w:rsidR="00E57734" w:rsidRPr="0022518D">
        <w:rPr>
          <w:lang w:val="en-GB"/>
        </w:rPr>
        <w:instrText xml:space="preserve"> HYPERLINK "https://www.kcl.ac.uk/law/research/centres/european/research/CELWPEL012012FINAL.pdf" </w:instrText>
      </w:r>
      <w:r w:rsidR="00E57734">
        <w:fldChar w:fldCharType="separate"/>
      </w:r>
      <w:r w:rsidRPr="00023B22">
        <w:rPr>
          <w:rStyle w:val="Hyperlink"/>
          <w:rFonts w:cstheme="minorHAnsi"/>
          <w:sz w:val="28"/>
          <w:szCs w:val="28"/>
          <w:lang w:val="en-US"/>
        </w:rPr>
        <w:t>https://www.kcl.ac.uk/law/research/centres/european/research/CELWPEL012012FINAL.pdf</w:t>
      </w:r>
      <w:r w:rsidR="00E57734">
        <w:rPr>
          <w:rStyle w:val="Hyperlink"/>
          <w:rFonts w:cstheme="minorHAnsi"/>
          <w:sz w:val="28"/>
          <w:szCs w:val="28"/>
          <w:lang w:val="en-US"/>
        </w:rPr>
        <w:fldChar w:fldCharType="end"/>
      </w:r>
      <w:bookmarkEnd w:id="0"/>
      <w:r w:rsidR="007C3BAB">
        <w:rPr>
          <w:rFonts w:cstheme="minorHAnsi"/>
          <w:sz w:val="28"/>
          <w:szCs w:val="28"/>
          <w:lang w:val="en-US"/>
        </w:rPr>
        <w:t>.</w:t>
      </w:r>
      <w:r>
        <w:rPr>
          <w:rFonts w:cstheme="minorHAnsi"/>
          <w:sz w:val="28"/>
          <w:szCs w:val="28"/>
          <w:lang w:val="en-US"/>
        </w:rPr>
        <w:t xml:space="preserve"> (20 sider).</w:t>
      </w:r>
    </w:p>
    <w:p w:rsidR="00913856" w:rsidRPr="00913856" w:rsidRDefault="00913856" w:rsidP="00913856">
      <w:pPr>
        <w:rPr>
          <w:rFonts w:cstheme="minorHAnsi"/>
          <w:sz w:val="28"/>
          <w:szCs w:val="28"/>
          <w:lang w:val="en-US"/>
        </w:rPr>
      </w:pPr>
      <w:r w:rsidRPr="00913856">
        <w:rPr>
          <w:rFonts w:cstheme="minorHAnsi"/>
          <w:sz w:val="28"/>
          <w:szCs w:val="28"/>
          <w:lang w:val="en-US"/>
        </w:rPr>
        <w:t>-</w:t>
      </w:r>
      <w:r w:rsidR="00AD4F8B">
        <w:rPr>
          <w:rFonts w:cstheme="minorHAnsi"/>
          <w:sz w:val="28"/>
          <w:szCs w:val="28"/>
          <w:lang w:val="en-US"/>
        </w:rPr>
        <w:t xml:space="preserve"> </w:t>
      </w:r>
      <w:r w:rsidRPr="00913856">
        <w:rPr>
          <w:rFonts w:cstheme="minorHAnsi"/>
          <w:sz w:val="28"/>
          <w:szCs w:val="28"/>
          <w:lang w:val="en-US"/>
        </w:rPr>
        <w:t xml:space="preserve">The principle of primacy and the duty of national bodies appointed to enforce EU law to </w:t>
      </w:r>
      <w:proofErr w:type="spellStart"/>
      <w:r w:rsidRPr="00913856">
        <w:rPr>
          <w:rFonts w:cstheme="minorHAnsi"/>
          <w:sz w:val="28"/>
          <w:szCs w:val="28"/>
          <w:lang w:val="en-US"/>
        </w:rPr>
        <w:t>disapply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conflicting national law: An Garda Síochána, Sara Drake, Common Market Law Review 57: 557–568, 2020.</w:t>
      </w:r>
    </w:p>
    <w:p w:rsidR="00913856" w:rsidRPr="00913856" w:rsidRDefault="00913856" w:rsidP="00913856">
      <w:pPr>
        <w:rPr>
          <w:rFonts w:cstheme="minorHAnsi"/>
          <w:sz w:val="28"/>
          <w:szCs w:val="28"/>
          <w:lang w:val="en-US"/>
        </w:rPr>
      </w:pPr>
      <w:r w:rsidRPr="00913856">
        <w:rPr>
          <w:rFonts w:cstheme="minorHAnsi"/>
          <w:sz w:val="28"/>
          <w:szCs w:val="28"/>
          <w:lang w:val="en-US"/>
        </w:rPr>
        <w:t xml:space="preserve">- Primacy and the remedy of disapplication, Michael </w:t>
      </w:r>
      <w:proofErr w:type="spellStart"/>
      <w:r w:rsidRPr="00913856">
        <w:rPr>
          <w:rFonts w:cstheme="minorHAnsi"/>
          <w:sz w:val="28"/>
          <w:szCs w:val="28"/>
          <w:lang w:val="en-US"/>
        </w:rPr>
        <w:t>Dougan</w:t>
      </w:r>
      <w:proofErr w:type="spellEnd"/>
      <w:r w:rsidRPr="00913856">
        <w:rPr>
          <w:rFonts w:cstheme="minorHAnsi"/>
          <w:sz w:val="28"/>
          <w:szCs w:val="28"/>
          <w:lang w:val="en-US"/>
        </w:rPr>
        <w:t>, Common Market Law Review 56: 1459–1508, 2019.</w:t>
      </w:r>
    </w:p>
    <w:p w:rsidR="00AD4F8B" w:rsidRPr="00742327" w:rsidRDefault="00913856" w:rsidP="00913856">
      <w:pPr>
        <w:rPr>
          <w:rFonts w:cstheme="minorHAnsi"/>
          <w:sz w:val="28"/>
          <w:szCs w:val="28"/>
        </w:rPr>
      </w:pPr>
      <w:r w:rsidRPr="00913856">
        <w:rPr>
          <w:rFonts w:cstheme="minorHAnsi"/>
          <w:sz w:val="28"/>
          <w:szCs w:val="28"/>
          <w:lang w:val="en-US"/>
        </w:rPr>
        <w:t>-</w:t>
      </w:r>
      <w:r w:rsidR="00AD4F8B">
        <w:rPr>
          <w:rFonts w:cstheme="minorHAnsi"/>
          <w:sz w:val="28"/>
          <w:szCs w:val="28"/>
          <w:lang w:val="en-US"/>
        </w:rPr>
        <w:t xml:space="preserve"> </w:t>
      </w:r>
      <w:r w:rsidRPr="00913856">
        <w:rPr>
          <w:rFonts w:cstheme="minorHAnsi"/>
          <w:sz w:val="28"/>
          <w:szCs w:val="28"/>
          <w:lang w:val="en-US"/>
        </w:rPr>
        <w:t xml:space="preserve">Tale </w:t>
      </w:r>
      <w:proofErr w:type="spellStart"/>
      <w:r w:rsidRPr="00913856">
        <w:rPr>
          <w:rFonts w:cstheme="minorHAnsi"/>
          <w:sz w:val="28"/>
          <w:szCs w:val="28"/>
          <w:lang w:val="en-US"/>
        </w:rPr>
        <w:t>af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13856">
        <w:rPr>
          <w:rFonts w:cstheme="minorHAnsi"/>
          <w:sz w:val="28"/>
          <w:szCs w:val="28"/>
          <w:lang w:val="en-US"/>
        </w:rPr>
        <w:t>retspræsident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Koen </w:t>
      </w:r>
      <w:proofErr w:type="spellStart"/>
      <w:r w:rsidRPr="00913856">
        <w:rPr>
          <w:rFonts w:cstheme="minorHAnsi"/>
          <w:sz w:val="28"/>
          <w:szCs w:val="28"/>
          <w:lang w:val="en-US"/>
        </w:rPr>
        <w:t>Lenaerts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, ”The role of the EU Charter in the Member States”, University of Cyprus </w:t>
      </w:r>
      <w:r w:rsidRPr="00913856">
        <w:rPr>
          <w:rFonts w:cstheme="minorHAnsi"/>
          <w:sz w:val="28"/>
          <w:szCs w:val="28"/>
          <w:lang w:val="en-US"/>
        </w:rPr>
        <w:lastRenderedPageBreak/>
        <w:t xml:space="preserve">and University of Central Lancashire, Nicosia, </w:t>
      </w:r>
      <w:proofErr w:type="spellStart"/>
      <w:r w:rsidRPr="00913856">
        <w:rPr>
          <w:rFonts w:cstheme="minorHAnsi"/>
          <w:sz w:val="28"/>
          <w:szCs w:val="28"/>
          <w:lang w:val="en-US"/>
        </w:rPr>
        <w:t>april</w:t>
      </w:r>
      <w:proofErr w:type="spellEnd"/>
      <w:r w:rsidRPr="00913856">
        <w:rPr>
          <w:rFonts w:cstheme="minorHAnsi"/>
          <w:sz w:val="28"/>
          <w:szCs w:val="28"/>
          <w:lang w:val="en-US"/>
        </w:rPr>
        <w:t xml:space="preserve"> 2019.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742327">
        <w:rPr>
          <w:rFonts w:cstheme="minorHAnsi"/>
          <w:sz w:val="28"/>
          <w:szCs w:val="28"/>
        </w:rPr>
        <w:t>(31 sider).</w:t>
      </w:r>
    </w:p>
    <w:p w:rsidR="00AD4F8B" w:rsidRPr="00742327" w:rsidRDefault="00AD4F8B" w:rsidP="00913856">
      <w:pPr>
        <w:rPr>
          <w:rFonts w:cstheme="minorHAnsi"/>
          <w:sz w:val="28"/>
          <w:szCs w:val="28"/>
        </w:rPr>
      </w:pPr>
      <w:r w:rsidRPr="00AD4F8B">
        <w:rPr>
          <w:rFonts w:cstheme="minorHAnsi"/>
          <w:sz w:val="28"/>
          <w:szCs w:val="28"/>
        </w:rPr>
        <w:t xml:space="preserve">- Jens Kristiansen: Grænser for EU-rettens umiddelbare anvendelighed i dansk ret - Om Højesterets dom i Ajos-sagen i </w:t>
      </w:r>
      <w:proofErr w:type="spellStart"/>
      <w:r w:rsidRPr="00AD4F8B">
        <w:rPr>
          <w:rFonts w:cstheme="minorHAnsi"/>
          <w:sz w:val="28"/>
          <w:szCs w:val="28"/>
        </w:rPr>
        <w:t>UfR</w:t>
      </w:r>
      <w:proofErr w:type="spellEnd"/>
      <w:r w:rsidRPr="00AD4F8B">
        <w:rPr>
          <w:rFonts w:cstheme="minorHAnsi"/>
          <w:sz w:val="28"/>
          <w:szCs w:val="28"/>
        </w:rPr>
        <w:t xml:space="preserve"> 2017, afd. </w:t>
      </w:r>
      <w:r w:rsidRPr="00742327">
        <w:rPr>
          <w:rFonts w:cstheme="minorHAnsi"/>
          <w:sz w:val="28"/>
          <w:szCs w:val="28"/>
        </w:rPr>
        <w:t>B, s. 75-84.</w:t>
      </w:r>
    </w:p>
    <w:p w:rsidR="00AD4F8B" w:rsidRPr="00742327" w:rsidRDefault="00AD4F8B" w:rsidP="00913856">
      <w:pPr>
        <w:rPr>
          <w:rFonts w:cstheme="minorHAnsi"/>
          <w:sz w:val="28"/>
          <w:szCs w:val="28"/>
        </w:rPr>
      </w:pPr>
      <w:r w:rsidRPr="00AD4F8B">
        <w:rPr>
          <w:rFonts w:cstheme="minorHAnsi"/>
          <w:sz w:val="28"/>
          <w:szCs w:val="28"/>
        </w:rPr>
        <w:t xml:space="preserve">- Ole </w:t>
      </w:r>
      <w:proofErr w:type="spellStart"/>
      <w:r w:rsidRPr="00AD4F8B">
        <w:rPr>
          <w:rFonts w:cstheme="minorHAnsi"/>
          <w:sz w:val="28"/>
          <w:szCs w:val="28"/>
        </w:rPr>
        <w:t>Spiermann</w:t>
      </w:r>
      <w:proofErr w:type="spellEnd"/>
      <w:r w:rsidRPr="00AD4F8B">
        <w:rPr>
          <w:rFonts w:cstheme="minorHAnsi"/>
          <w:sz w:val="28"/>
          <w:szCs w:val="28"/>
        </w:rPr>
        <w:t xml:space="preserve">: En højesteretsdom om EU-tiltrædelsesloven i </w:t>
      </w:r>
      <w:proofErr w:type="spellStart"/>
      <w:r w:rsidRPr="00AD4F8B">
        <w:rPr>
          <w:rFonts w:cstheme="minorHAnsi"/>
          <w:sz w:val="28"/>
          <w:szCs w:val="28"/>
        </w:rPr>
        <w:t>UfR</w:t>
      </w:r>
      <w:proofErr w:type="spellEnd"/>
      <w:r w:rsidRPr="00AD4F8B">
        <w:rPr>
          <w:rFonts w:cstheme="minorHAnsi"/>
          <w:sz w:val="28"/>
          <w:szCs w:val="28"/>
        </w:rPr>
        <w:t xml:space="preserve"> 2017, afd. </w:t>
      </w:r>
      <w:r w:rsidRPr="00742327">
        <w:rPr>
          <w:rFonts w:cstheme="minorHAnsi"/>
          <w:sz w:val="28"/>
          <w:szCs w:val="28"/>
        </w:rPr>
        <w:t>B, s. 297-308.</w:t>
      </w:r>
    </w:p>
    <w:p w:rsidR="00AD4F8B" w:rsidRDefault="00AD4F8B" w:rsidP="00913856">
      <w:pPr>
        <w:rPr>
          <w:rFonts w:cstheme="minorHAnsi"/>
          <w:sz w:val="28"/>
          <w:szCs w:val="28"/>
        </w:rPr>
      </w:pPr>
      <w:r w:rsidRPr="00AD4F8B">
        <w:rPr>
          <w:rFonts w:cstheme="minorHAnsi"/>
          <w:sz w:val="28"/>
          <w:szCs w:val="28"/>
        </w:rPr>
        <w:t xml:space="preserve">- Erik </w:t>
      </w:r>
      <w:proofErr w:type="spellStart"/>
      <w:r w:rsidRPr="00AD4F8B">
        <w:rPr>
          <w:rFonts w:cstheme="minorHAnsi"/>
          <w:sz w:val="28"/>
          <w:szCs w:val="28"/>
        </w:rPr>
        <w:t>Werlauff</w:t>
      </w:r>
      <w:proofErr w:type="spellEnd"/>
      <w:r w:rsidRPr="00AD4F8B">
        <w:rPr>
          <w:rFonts w:cstheme="minorHAnsi"/>
          <w:sz w:val="28"/>
          <w:szCs w:val="28"/>
        </w:rPr>
        <w:t xml:space="preserve"> i Festskrift til Mads Bryde Andersen: National rets modtagelse af problematiske nyskabelser fra EU-Domstolen: ’AJOS-problematikken’ anskuet ud fra en tysk forfatningsretlig synsvinkel (20 sider).</w:t>
      </w:r>
    </w:p>
    <w:p w:rsidR="00AD4F8B" w:rsidRDefault="00AD4F8B" w:rsidP="009138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AD4F8B">
        <w:rPr>
          <w:rFonts w:cstheme="minorHAnsi"/>
          <w:sz w:val="28"/>
          <w:szCs w:val="28"/>
        </w:rPr>
        <w:t>Søren Højgaard Mørup i Forvaltningsloven 25 år: God forvaltningsskik og gældende ret, s. 205-237.</w:t>
      </w:r>
    </w:p>
    <w:p w:rsidR="00913856" w:rsidRPr="007C3BAB" w:rsidRDefault="00AD4F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 w:rsidRPr="00AD4F8B">
        <w:rPr>
          <w:rFonts w:cstheme="minorHAnsi"/>
          <w:sz w:val="28"/>
          <w:szCs w:val="28"/>
        </w:rPr>
        <w:t>UfR</w:t>
      </w:r>
      <w:proofErr w:type="spellEnd"/>
      <w:r w:rsidRPr="00AD4F8B">
        <w:rPr>
          <w:rFonts w:cstheme="minorHAnsi"/>
          <w:sz w:val="28"/>
          <w:szCs w:val="28"/>
        </w:rPr>
        <w:t xml:space="preserve"> 2017.824 H (Ajos-dommen) (22 sider)</w:t>
      </w:r>
      <w:r>
        <w:rPr>
          <w:rFonts w:cstheme="minorHAnsi"/>
          <w:sz w:val="28"/>
          <w:szCs w:val="28"/>
        </w:rPr>
        <w:t>.</w:t>
      </w:r>
    </w:p>
    <w:sectPr w:rsidR="00913856" w:rsidRPr="007C3BA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72" w:rsidRDefault="00923E72" w:rsidP="00AF7CCF">
      <w:pPr>
        <w:spacing w:after="0" w:line="240" w:lineRule="auto"/>
      </w:pPr>
      <w:r>
        <w:separator/>
      </w:r>
    </w:p>
  </w:endnote>
  <w:endnote w:type="continuationSeparator" w:id="0">
    <w:p w:rsidR="00923E72" w:rsidRDefault="00923E72" w:rsidP="00AF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72" w:rsidRDefault="00923E72" w:rsidP="00AF7CCF">
      <w:pPr>
        <w:spacing w:after="0" w:line="240" w:lineRule="auto"/>
      </w:pPr>
      <w:r>
        <w:separator/>
      </w:r>
    </w:p>
  </w:footnote>
  <w:footnote w:type="continuationSeparator" w:id="0">
    <w:p w:rsidR="00923E72" w:rsidRDefault="00923E72" w:rsidP="00AF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CF" w:rsidRPr="009728C9" w:rsidRDefault="00AF7CCF" w:rsidP="00AF7CCF">
    <w:pPr>
      <w:pStyle w:val="BSSBomaerke"/>
      <w:tabs>
        <w:tab w:val="left" w:pos="4170"/>
        <w:tab w:val="left" w:pos="4665"/>
      </w:tabs>
    </w:pPr>
    <w:r w:rsidRPr="009728C9">
      <w:t></w:t>
    </w:r>
    <w:r>
      <w:tab/>
    </w:r>
    <w:r>
      <w:tab/>
    </w:r>
    <w:r>
      <w:tab/>
    </w:r>
    <w:r>
      <w:tab/>
    </w:r>
    <w:r>
      <w:tab/>
    </w:r>
    <w:r w:rsidRPr="008814BC">
      <w:rPr>
        <w:rFonts w:asciiTheme="minorHAnsi" w:hAnsiTheme="minorHAnsi" w:cstheme="minorHAnsi"/>
        <w:sz w:val="24"/>
        <w:szCs w:val="24"/>
      </w:rPr>
      <w:t xml:space="preserve">Juridisk Institut </w:t>
    </w:r>
  </w:p>
  <w:p w:rsidR="00AF7CCF" w:rsidRDefault="00AF7CCF">
    <w:pPr>
      <w:pStyle w:val="Sidehoved"/>
    </w:pPr>
    <w: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F"/>
    <w:rsid w:val="00031319"/>
    <w:rsid w:val="000515E6"/>
    <w:rsid w:val="000855BF"/>
    <w:rsid w:val="00085F04"/>
    <w:rsid w:val="00093F8D"/>
    <w:rsid w:val="00123AE3"/>
    <w:rsid w:val="001436DD"/>
    <w:rsid w:val="00144F8C"/>
    <w:rsid w:val="001744E4"/>
    <w:rsid w:val="001977A6"/>
    <w:rsid w:val="001F0E90"/>
    <w:rsid w:val="0022518D"/>
    <w:rsid w:val="00251F47"/>
    <w:rsid w:val="002E29F6"/>
    <w:rsid w:val="003C4215"/>
    <w:rsid w:val="00445DDF"/>
    <w:rsid w:val="00487D80"/>
    <w:rsid w:val="004E43F7"/>
    <w:rsid w:val="00507B51"/>
    <w:rsid w:val="005469AD"/>
    <w:rsid w:val="005E6AC8"/>
    <w:rsid w:val="00613D92"/>
    <w:rsid w:val="00630EC3"/>
    <w:rsid w:val="006E25D4"/>
    <w:rsid w:val="007054BD"/>
    <w:rsid w:val="00742327"/>
    <w:rsid w:val="007726D8"/>
    <w:rsid w:val="00777602"/>
    <w:rsid w:val="007969F2"/>
    <w:rsid w:val="007C3BAB"/>
    <w:rsid w:val="007F2AC4"/>
    <w:rsid w:val="00813CE7"/>
    <w:rsid w:val="0083184F"/>
    <w:rsid w:val="00874739"/>
    <w:rsid w:val="008814BC"/>
    <w:rsid w:val="00913856"/>
    <w:rsid w:val="00917980"/>
    <w:rsid w:val="00923E72"/>
    <w:rsid w:val="00986CED"/>
    <w:rsid w:val="00993B28"/>
    <w:rsid w:val="009F4F4A"/>
    <w:rsid w:val="00A6782E"/>
    <w:rsid w:val="00AD0ACE"/>
    <w:rsid w:val="00AD2637"/>
    <w:rsid w:val="00AD4F8B"/>
    <w:rsid w:val="00AE01D2"/>
    <w:rsid w:val="00AE52A8"/>
    <w:rsid w:val="00AF7CCF"/>
    <w:rsid w:val="00B517AC"/>
    <w:rsid w:val="00B90CCD"/>
    <w:rsid w:val="00BF076B"/>
    <w:rsid w:val="00BF2218"/>
    <w:rsid w:val="00C05DFB"/>
    <w:rsid w:val="00CE514F"/>
    <w:rsid w:val="00D24845"/>
    <w:rsid w:val="00E403A4"/>
    <w:rsid w:val="00E430D3"/>
    <w:rsid w:val="00E5481D"/>
    <w:rsid w:val="00E57734"/>
    <w:rsid w:val="00E61566"/>
    <w:rsid w:val="00E61C43"/>
    <w:rsid w:val="00E755C1"/>
    <w:rsid w:val="00EA5094"/>
    <w:rsid w:val="00EB2B1D"/>
    <w:rsid w:val="00EB63D0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5ED72"/>
  <w15:chartTrackingRefBased/>
  <w15:docId w15:val="{5E8EDF4F-E13C-4962-9035-B41F3A3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SSBomaerke">
    <w:name w:val="BSSBomaerke"/>
    <w:basedOn w:val="Normal"/>
    <w:next w:val="Normal"/>
    <w:semiHidden/>
    <w:qFormat/>
    <w:rsid w:val="00AF7CCF"/>
    <w:pPr>
      <w:spacing w:after="0" w:line="280" w:lineRule="atLeast"/>
    </w:pPr>
    <w:rPr>
      <w:rFonts w:ascii="AU Logo" w:eastAsia="Times New Roman" w:hAnsi="AU Logo" w:cs="Times New Roman"/>
      <w:b/>
      <w:color w:val="44546A" w:themeColor="text2"/>
      <w:sz w:val="101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F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7CCF"/>
  </w:style>
  <w:style w:type="paragraph" w:styleId="Sidefod">
    <w:name w:val="footer"/>
    <w:basedOn w:val="Normal"/>
    <w:link w:val="SidefodTegn"/>
    <w:uiPriority w:val="99"/>
    <w:unhideWhenUsed/>
    <w:rsid w:val="00AF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7CCF"/>
  </w:style>
  <w:style w:type="character" w:styleId="Hyperlink">
    <w:name w:val="Hyperlink"/>
    <w:basedOn w:val="Standardskrifttypeiafsnit"/>
    <w:uiPriority w:val="99"/>
    <w:unhideWhenUsed/>
    <w:rsid w:val="009F4F4A"/>
    <w:rPr>
      <w:color w:val="0563C1" w:themeColor="hyperlink"/>
      <w:u w:val="single"/>
    </w:rPr>
  </w:style>
  <w:style w:type="paragraph" w:customStyle="1" w:styleId="xxmsonormal">
    <w:name w:val="xxmsonormal"/>
    <w:basedOn w:val="Normal"/>
    <w:uiPriority w:val="99"/>
    <w:rsid w:val="00B517AC"/>
    <w:pPr>
      <w:spacing w:after="0" w:line="240" w:lineRule="auto"/>
    </w:pPr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 Dyveke Kristensen</dc:creator>
  <cp:keywords/>
  <dc:description/>
  <cp:lastModifiedBy>Linda Andersen</cp:lastModifiedBy>
  <cp:revision>6</cp:revision>
  <cp:lastPrinted>2020-01-10T11:07:00Z</cp:lastPrinted>
  <dcterms:created xsi:type="dcterms:W3CDTF">2021-06-11T09:17:00Z</dcterms:created>
  <dcterms:modified xsi:type="dcterms:W3CDTF">2021-06-11T09:19:00Z</dcterms:modified>
</cp:coreProperties>
</file>